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90" w:type="dxa"/>
        <w:tblCellMar>
          <w:left w:w="0" w:type="dxa"/>
          <w:right w:w="0" w:type="dxa"/>
        </w:tblCellMar>
        <w:tblLook w:val="04A0" w:firstRow="1" w:lastRow="0" w:firstColumn="1" w:lastColumn="0" w:noHBand="0" w:noVBand="1"/>
      </w:tblPr>
      <w:tblGrid>
        <w:gridCol w:w="9090"/>
      </w:tblGrid>
      <w:tr w:rsidR="00580278" w14:paraId="2C3A8431" w14:textId="77777777" w:rsidTr="00580278">
        <w:tc>
          <w:tcPr>
            <w:tcW w:w="0" w:type="auto"/>
            <w:hideMark/>
          </w:tcPr>
          <w:tbl>
            <w:tblPr>
              <w:tblW w:w="0" w:type="auto"/>
              <w:tblCellMar>
                <w:left w:w="0" w:type="dxa"/>
                <w:right w:w="0" w:type="dxa"/>
              </w:tblCellMar>
              <w:tblLook w:val="04A0" w:firstRow="1" w:lastRow="0" w:firstColumn="1" w:lastColumn="0" w:noHBand="0" w:noVBand="1"/>
            </w:tblPr>
            <w:tblGrid>
              <w:gridCol w:w="9090"/>
            </w:tblGrid>
            <w:tr w:rsidR="00580278" w14:paraId="740F7E90" w14:textId="77777777">
              <w:trPr>
                <w:trHeight w:val="12"/>
              </w:trPr>
              <w:tc>
                <w:tcPr>
                  <w:tcW w:w="0" w:type="auto"/>
                  <w:shd w:val="clear" w:color="auto" w:fill="C3C3C3"/>
                  <w:vAlign w:val="center"/>
                  <w:hideMark/>
                </w:tcPr>
                <w:p w14:paraId="728BB0EE" w14:textId="77777777" w:rsidR="00580278" w:rsidRDefault="00580278"/>
              </w:tc>
            </w:tr>
            <w:tr w:rsidR="00580278" w14:paraId="3BCDB141" w14:textId="77777777">
              <w:tc>
                <w:tcPr>
                  <w:tcW w:w="0" w:type="auto"/>
                  <w:vAlign w:val="center"/>
                  <w:hideMark/>
                </w:tcPr>
                <w:tbl>
                  <w:tblPr>
                    <w:tblW w:w="0" w:type="auto"/>
                    <w:tblCellMar>
                      <w:left w:w="0" w:type="dxa"/>
                      <w:right w:w="0" w:type="dxa"/>
                    </w:tblCellMar>
                    <w:tblLook w:val="04A0" w:firstRow="1" w:lastRow="0" w:firstColumn="1" w:lastColumn="0" w:noHBand="0" w:noVBand="1"/>
                  </w:tblPr>
                  <w:tblGrid>
                    <w:gridCol w:w="15"/>
                    <w:gridCol w:w="525"/>
                    <w:gridCol w:w="8535"/>
                    <w:gridCol w:w="15"/>
                  </w:tblGrid>
                  <w:tr w:rsidR="00580278" w14:paraId="046F4AAE" w14:textId="77777777">
                    <w:trPr>
                      <w:trHeight w:val="120"/>
                    </w:trPr>
                    <w:tc>
                      <w:tcPr>
                        <w:tcW w:w="15" w:type="dxa"/>
                        <w:shd w:val="clear" w:color="auto" w:fill="C3C3C3"/>
                        <w:vAlign w:val="center"/>
                        <w:hideMark/>
                      </w:tcPr>
                      <w:p w14:paraId="11774DEE" w14:textId="77777777" w:rsidR="00580278" w:rsidRDefault="00580278">
                        <w:pPr>
                          <w:rPr>
                            <w:rFonts w:ascii="Times New Roman" w:eastAsia="Times New Roman" w:hAnsi="Times New Roman" w:cs="Times New Roman"/>
                            <w:color w:val="auto"/>
                            <w:sz w:val="20"/>
                            <w:szCs w:val="20"/>
                          </w:rPr>
                        </w:pPr>
                      </w:p>
                    </w:tc>
                    <w:tc>
                      <w:tcPr>
                        <w:tcW w:w="525" w:type="dxa"/>
                        <w:vAlign w:val="center"/>
                        <w:hideMark/>
                      </w:tcPr>
                      <w:p w14:paraId="28F5616E" w14:textId="77777777" w:rsidR="00580278" w:rsidRDefault="00580278">
                        <w:pPr>
                          <w:rPr>
                            <w:rFonts w:ascii="Helvetica" w:eastAsia="Times New Roman" w:hAnsi="Helvetica" w:cs="Helvetica"/>
                            <w:color w:val="4B4B4B"/>
                            <w:sz w:val="21"/>
                            <w:szCs w:val="21"/>
                          </w:rPr>
                        </w:pPr>
                        <w:r>
                          <w:rPr>
                            <w:rFonts w:ascii="Helvetica" w:eastAsia="Times New Roman" w:hAnsi="Helvetica" w:cs="Helvetica"/>
                            <w:color w:val="4B4B4B"/>
                            <w:sz w:val="21"/>
                            <w:szCs w:val="21"/>
                          </w:rPr>
                          <w:t> </w:t>
                        </w:r>
                      </w:p>
                    </w:tc>
                    <w:tc>
                      <w:tcPr>
                        <w:tcW w:w="525" w:type="dxa"/>
                        <w:vAlign w:val="center"/>
                        <w:hideMark/>
                      </w:tcPr>
                      <w:p w14:paraId="68A774C0" w14:textId="77777777" w:rsidR="00580278" w:rsidRDefault="00580278">
                        <w:pPr>
                          <w:rPr>
                            <w:rFonts w:ascii="Helvetica" w:eastAsia="Times New Roman" w:hAnsi="Helvetica" w:cs="Helvetica"/>
                            <w:color w:val="4B4B4B"/>
                            <w:sz w:val="21"/>
                            <w:szCs w:val="21"/>
                          </w:rPr>
                        </w:pPr>
                      </w:p>
                    </w:tc>
                    <w:tc>
                      <w:tcPr>
                        <w:tcW w:w="15" w:type="dxa"/>
                        <w:shd w:val="clear" w:color="auto" w:fill="C3C3C3"/>
                        <w:vAlign w:val="center"/>
                        <w:hideMark/>
                      </w:tcPr>
                      <w:p w14:paraId="7B36E800" w14:textId="77777777" w:rsidR="00580278" w:rsidRDefault="00580278">
                        <w:pPr>
                          <w:rPr>
                            <w:rFonts w:ascii="Times New Roman" w:eastAsia="Times New Roman" w:hAnsi="Times New Roman" w:cs="Times New Roman"/>
                            <w:color w:val="auto"/>
                            <w:sz w:val="20"/>
                            <w:szCs w:val="20"/>
                          </w:rPr>
                        </w:pPr>
                      </w:p>
                    </w:tc>
                  </w:tr>
                  <w:tr w:rsidR="00580278" w14:paraId="4DEE9D0F" w14:textId="77777777">
                    <w:tc>
                      <w:tcPr>
                        <w:tcW w:w="15" w:type="dxa"/>
                        <w:shd w:val="clear" w:color="auto" w:fill="C3C3C3"/>
                        <w:vAlign w:val="center"/>
                        <w:hideMark/>
                      </w:tcPr>
                      <w:p w14:paraId="3C90A04C" w14:textId="77777777" w:rsidR="00580278" w:rsidRDefault="00580278">
                        <w:pPr>
                          <w:rPr>
                            <w:rFonts w:ascii="Times New Roman" w:eastAsia="Times New Roman" w:hAnsi="Times New Roman" w:cs="Times New Roman"/>
                            <w:color w:val="auto"/>
                            <w:sz w:val="20"/>
                            <w:szCs w:val="20"/>
                          </w:rPr>
                        </w:pPr>
                      </w:p>
                    </w:tc>
                    <w:tc>
                      <w:tcPr>
                        <w:tcW w:w="525" w:type="dxa"/>
                        <w:vAlign w:val="center"/>
                        <w:hideMark/>
                      </w:tcPr>
                      <w:p w14:paraId="13624819" w14:textId="77777777" w:rsidR="00580278" w:rsidRDefault="00580278">
                        <w:pPr>
                          <w:rPr>
                            <w:rFonts w:ascii="Helvetica" w:eastAsia="Times New Roman" w:hAnsi="Helvetica" w:cs="Helvetica"/>
                            <w:color w:val="4B4B4B"/>
                            <w:sz w:val="21"/>
                            <w:szCs w:val="21"/>
                          </w:rPr>
                        </w:pPr>
                        <w:r>
                          <w:rPr>
                            <w:rFonts w:ascii="Helvetica" w:eastAsia="Times New Roman" w:hAnsi="Helvetica" w:cs="Helvetica"/>
                            <w:color w:val="4B4B4B"/>
                            <w:sz w:val="21"/>
                            <w:szCs w:val="21"/>
                          </w:rPr>
                          <w:t> </w:t>
                        </w:r>
                      </w:p>
                    </w:tc>
                    <w:tc>
                      <w:tcPr>
                        <w:tcW w:w="8535" w:type="dxa"/>
                        <w:vAlign w:val="center"/>
                        <w:hideMark/>
                      </w:tcPr>
                      <w:p w14:paraId="3C749B4F" w14:textId="6CD9D000" w:rsidR="00580278" w:rsidRDefault="00580278">
                        <w:pPr>
                          <w:rPr>
                            <w:rFonts w:ascii="Helvetica" w:eastAsia="Times New Roman" w:hAnsi="Helvetica" w:cs="Helvetica"/>
                            <w:color w:val="4B4B4B"/>
                            <w:sz w:val="21"/>
                            <w:szCs w:val="21"/>
                          </w:rPr>
                        </w:pPr>
                        <w:r>
                          <w:rPr>
                            <w:rFonts w:ascii="Helvetica" w:eastAsia="Times New Roman" w:hAnsi="Helvetica" w:cs="Helvetica"/>
                            <w:noProof/>
                            <w:color w:val="4B4B4B"/>
                            <w:sz w:val="21"/>
                            <w:szCs w:val="21"/>
                          </w:rPr>
                          <w:drawing>
                            <wp:inline distT="0" distB="0" distL="0" distR="0" wp14:anchorId="44C64D7B" wp14:editId="5FAF8DA5">
                              <wp:extent cx="2377440" cy="533400"/>
                              <wp:effectExtent l="0" t="0" r="381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77440" cy="533400"/>
                                      </a:xfrm>
                                      <a:prstGeom prst="rect">
                                        <a:avLst/>
                                      </a:prstGeom>
                                      <a:noFill/>
                                      <a:ln>
                                        <a:noFill/>
                                      </a:ln>
                                    </pic:spPr>
                                  </pic:pic>
                                </a:graphicData>
                              </a:graphic>
                            </wp:inline>
                          </w:drawing>
                        </w:r>
                      </w:p>
                    </w:tc>
                    <w:tc>
                      <w:tcPr>
                        <w:tcW w:w="15" w:type="dxa"/>
                        <w:shd w:val="clear" w:color="auto" w:fill="C3C3C3"/>
                        <w:vAlign w:val="center"/>
                        <w:hideMark/>
                      </w:tcPr>
                      <w:p w14:paraId="6076F053" w14:textId="77777777" w:rsidR="00580278" w:rsidRDefault="00580278">
                        <w:pPr>
                          <w:rPr>
                            <w:rFonts w:ascii="Helvetica" w:eastAsia="Times New Roman" w:hAnsi="Helvetica" w:cs="Helvetica"/>
                            <w:color w:val="4B4B4B"/>
                            <w:sz w:val="21"/>
                            <w:szCs w:val="21"/>
                          </w:rPr>
                        </w:pPr>
                      </w:p>
                    </w:tc>
                  </w:tr>
                  <w:tr w:rsidR="00580278" w14:paraId="684FBD5D" w14:textId="77777777">
                    <w:trPr>
                      <w:trHeight w:val="240"/>
                    </w:trPr>
                    <w:tc>
                      <w:tcPr>
                        <w:tcW w:w="15" w:type="dxa"/>
                        <w:shd w:val="clear" w:color="auto" w:fill="C3C3C3"/>
                        <w:vAlign w:val="center"/>
                        <w:hideMark/>
                      </w:tcPr>
                      <w:p w14:paraId="560C1A6B" w14:textId="77777777" w:rsidR="00580278" w:rsidRDefault="00580278">
                        <w:pPr>
                          <w:rPr>
                            <w:rFonts w:ascii="Times New Roman" w:eastAsia="Times New Roman" w:hAnsi="Times New Roman" w:cs="Times New Roman"/>
                            <w:color w:val="auto"/>
                            <w:sz w:val="20"/>
                            <w:szCs w:val="20"/>
                          </w:rPr>
                        </w:pPr>
                      </w:p>
                    </w:tc>
                    <w:tc>
                      <w:tcPr>
                        <w:tcW w:w="525" w:type="dxa"/>
                        <w:vAlign w:val="center"/>
                        <w:hideMark/>
                      </w:tcPr>
                      <w:p w14:paraId="295E7023" w14:textId="77777777" w:rsidR="00580278" w:rsidRDefault="00580278">
                        <w:pPr>
                          <w:rPr>
                            <w:rFonts w:ascii="Helvetica" w:eastAsia="Times New Roman" w:hAnsi="Helvetica" w:cs="Helvetica"/>
                            <w:color w:val="4B4B4B"/>
                            <w:sz w:val="21"/>
                            <w:szCs w:val="21"/>
                          </w:rPr>
                        </w:pPr>
                        <w:r>
                          <w:rPr>
                            <w:rFonts w:ascii="Helvetica" w:eastAsia="Times New Roman" w:hAnsi="Helvetica" w:cs="Helvetica"/>
                            <w:color w:val="4B4B4B"/>
                            <w:sz w:val="21"/>
                            <w:szCs w:val="21"/>
                          </w:rPr>
                          <w:t> </w:t>
                        </w:r>
                      </w:p>
                    </w:tc>
                    <w:tc>
                      <w:tcPr>
                        <w:tcW w:w="8535" w:type="dxa"/>
                        <w:vAlign w:val="center"/>
                        <w:hideMark/>
                      </w:tcPr>
                      <w:p w14:paraId="2700AC75" w14:textId="77777777" w:rsidR="00580278" w:rsidRDefault="00580278">
                        <w:pPr>
                          <w:rPr>
                            <w:rFonts w:ascii="Helvetica" w:eastAsia="Times New Roman" w:hAnsi="Helvetica" w:cs="Helvetica"/>
                            <w:color w:val="4B4B4B"/>
                            <w:sz w:val="21"/>
                            <w:szCs w:val="21"/>
                          </w:rPr>
                        </w:pPr>
                      </w:p>
                    </w:tc>
                    <w:tc>
                      <w:tcPr>
                        <w:tcW w:w="15" w:type="dxa"/>
                        <w:shd w:val="clear" w:color="auto" w:fill="C3C3C3"/>
                        <w:vAlign w:val="center"/>
                        <w:hideMark/>
                      </w:tcPr>
                      <w:p w14:paraId="5FE4D1C1" w14:textId="77777777" w:rsidR="00580278" w:rsidRDefault="00580278">
                        <w:pPr>
                          <w:rPr>
                            <w:rFonts w:ascii="Times New Roman" w:eastAsia="Times New Roman" w:hAnsi="Times New Roman" w:cs="Times New Roman"/>
                            <w:color w:val="auto"/>
                            <w:sz w:val="20"/>
                            <w:szCs w:val="20"/>
                          </w:rPr>
                        </w:pPr>
                      </w:p>
                    </w:tc>
                  </w:tr>
                </w:tbl>
                <w:p w14:paraId="56209A56" w14:textId="77777777" w:rsidR="00580278" w:rsidRDefault="00580278">
                  <w:pPr>
                    <w:rPr>
                      <w:rFonts w:ascii="Times New Roman" w:eastAsia="Times New Roman" w:hAnsi="Times New Roman" w:cs="Times New Roman"/>
                      <w:color w:val="auto"/>
                      <w:sz w:val="20"/>
                      <w:szCs w:val="20"/>
                    </w:rPr>
                  </w:pPr>
                </w:p>
              </w:tc>
            </w:tr>
          </w:tbl>
          <w:p w14:paraId="5D15E68D" w14:textId="77777777" w:rsidR="00580278" w:rsidRDefault="00580278">
            <w:pPr>
              <w:rPr>
                <w:rFonts w:ascii="Times New Roman" w:eastAsia="Times New Roman" w:hAnsi="Times New Roman" w:cs="Times New Roman"/>
                <w:color w:val="auto"/>
                <w:sz w:val="20"/>
                <w:szCs w:val="20"/>
              </w:rPr>
            </w:pPr>
          </w:p>
        </w:tc>
      </w:tr>
      <w:tr w:rsidR="00580278" w14:paraId="3C212D51" w14:textId="77777777" w:rsidTr="00580278">
        <w:tc>
          <w:tcPr>
            <w:tcW w:w="0" w:type="auto"/>
            <w:hideMark/>
          </w:tcPr>
          <w:tbl>
            <w:tblPr>
              <w:tblW w:w="0" w:type="auto"/>
              <w:tblCellMar>
                <w:left w:w="0" w:type="dxa"/>
                <w:right w:w="0" w:type="dxa"/>
              </w:tblCellMar>
              <w:tblLook w:val="04A0" w:firstRow="1" w:lastRow="0" w:firstColumn="1" w:lastColumn="0" w:noHBand="0" w:noVBand="1"/>
            </w:tblPr>
            <w:tblGrid>
              <w:gridCol w:w="15"/>
              <w:gridCol w:w="525"/>
              <w:gridCol w:w="8010"/>
              <w:gridCol w:w="525"/>
              <w:gridCol w:w="15"/>
            </w:tblGrid>
            <w:tr w:rsidR="00580278" w14:paraId="524C0F56" w14:textId="77777777">
              <w:tc>
                <w:tcPr>
                  <w:tcW w:w="15" w:type="dxa"/>
                  <w:shd w:val="clear" w:color="auto" w:fill="C3C3C3"/>
                  <w:vAlign w:val="center"/>
                  <w:hideMark/>
                </w:tcPr>
                <w:p w14:paraId="5BEE24E4" w14:textId="77777777" w:rsidR="00580278" w:rsidRDefault="00580278">
                  <w:pPr>
                    <w:rPr>
                      <w:rFonts w:ascii="Times New Roman" w:eastAsia="Times New Roman" w:hAnsi="Times New Roman" w:cs="Times New Roman"/>
                      <w:color w:val="auto"/>
                      <w:sz w:val="20"/>
                      <w:szCs w:val="20"/>
                    </w:rPr>
                  </w:pPr>
                </w:p>
              </w:tc>
              <w:tc>
                <w:tcPr>
                  <w:tcW w:w="525" w:type="dxa"/>
                  <w:vAlign w:val="center"/>
                  <w:hideMark/>
                </w:tcPr>
                <w:p w14:paraId="5A0A178B" w14:textId="77777777" w:rsidR="00580278" w:rsidRDefault="00580278">
                  <w:pPr>
                    <w:rPr>
                      <w:rFonts w:ascii="Helvetica" w:eastAsia="Times New Roman" w:hAnsi="Helvetica" w:cs="Helvetica"/>
                      <w:color w:val="4B4B4B"/>
                      <w:sz w:val="21"/>
                      <w:szCs w:val="21"/>
                    </w:rPr>
                  </w:pPr>
                  <w:r>
                    <w:rPr>
                      <w:rFonts w:ascii="Helvetica" w:eastAsia="Times New Roman" w:hAnsi="Helvetica" w:cs="Helvetica"/>
                      <w:color w:val="4B4B4B"/>
                      <w:sz w:val="21"/>
                      <w:szCs w:val="21"/>
                    </w:rPr>
                    <w:t> </w:t>
                  </w:r>
                </w:p>
              </w:tc>
              <w:tc>
                <w:tcPr>
                  <w:tcW w:w="8010" w:type="dxa"/>
                </w:tcPr>
                <w:p w14:paraId="50360BBB" w14:textId="77777777" w:rsidR="00580278" w:rsidRDefault="00580278">
                  <w:pPr>
                    <w:spacing w:line="315" w:lineRule="atLeast"/>
                    <w:rPr>
                      <w:rFonts w:ascii="Helvetica" w:eastAsia="Times New Roman" w:hAnsi="Helvetica" w:cs="Helvetica"/>
                      <w:color w:val="4B4B4B"/>
                      <w:sz w:val="21"/>
                      <w:szCs w:val="21"/>
                    </w:rPr>
                  </w:pPr>
                  <w:r>
                    <w:rPr>
                      <w:rFonts w:ascii="Helvetica" w:eastAsia="Times New Roman" w:hAnsi="Helvetica" w:cs="Helvetica"/>
                      <w:color w:val="4B4B4B"/>
                      <w:sz w:val="21"/>
                      <w:szCs w:val="21"/>
                    </w:rPr>
                    <w:t>22 november 2021</w:t>
                  </w:r>
                </w:p>
                <w:p w14:paraId="446CF5C7" w14:textId="4E94389B" w:rsidR="00580278" w:rsidRDefault="00580278">
                  <w:pPr>
                    <w:pStyle w:val="Kop1"/>
                    <w:rPr>
                      <w:rFonts w:eastAsia="Times New Roman"/>
                    </w:rPr>
                  </w:pPr>
                  <w:r>
                    <w:rPr>
                      <w:rFonts w:eastAsia="Times New Roman"/>
                    </w:rPr>
                    <w:t xml:space="preserve">Leger des Heils collecteert voor kwetsbaren in </w:t>
                  </w:r>
                  <w:r w:rsidRPr="00580278">
                    <w:rPr>
                      <w:rFonts w:eastAsia="Times New Roman"/>
                      <w:highlight w:val="yellow"/>
                    </w:rPr>
                    <w:t>[</w:t>
                  </w:r>
                  <w:r w:rsidRPr="00580278">
                    <w:rPr>
                      <w:rFonts w:eastAsia="Times New Roman"/>
                      <w:highlight w:val="yellow"/>
                    </w:rPr>
                    <w:t>vul hier uw gemeente in</w:t>
                  </w:r>
                  <w:r w:rsidRPr="00580278">
                    <w:rPr>
                      <w:rFonts w:eastAsia="Times New Roman"/>
                      <w:highlight w:val="yellow"/>
                    </w:rPr>
                    <w:t>]</w:t>
                  </w:r>
                </w:p>
                <w:p w14:paraId="231D9BE7" w14:textId="77777777" w:rsidR="00580278" w:rsidRDefault="00580278">
                  <w:pPr>
                    <w:spacing w:line="315" w:lineRule="atLeast"/>
                    <w:rPr>
                      <w:rFonts w:ascii="Helvetica" w:eastAsia="Times New Roman" w:hAnsi="Helvetica" w:cs="Helvetica"/>
                      <w:color w:val="4B4B4B"/>
                      <w:sz w:val="21"/>
                      <w:szCs w:val="21"/>
                    </w:rPr>
                  </w:pPr>
                  <w:r>
                    <w:rPr>
                      <w:rStyle w:val="Zwaar"/>
                      <w:rFonts w:eastAsia="Times New Roman"/>
                    </w:rPr>
                    <w:t>In de week van 29 november tot en met 4 december gaan de collectanten van het Leger des Heils de straat weer op voor de landelijke collecte. In het hele land wordt geld opgehaald voor hulp aan kwetsbare mensen. De opbrengst van de collecte is bestemd voor het buurtwerk van de organisatie. Verspreid over Nederland heeft het Leger ruim honderd buurthuiskamers, bedoeld voor de directe omgeving en toegankelijk voor iedereen.</w:t>
                  </w:r>
                </w:p>
                <w:p w14:paraId="41F2A0C5" w14:textId="77777777" w:rsidR="00580278" w:rsidRDefault="00580278">
                  <w:pPr>
                    <w:spacing w:line="315" w:lineRule="atLeast"/>
                    <w:rPr>
                      <w:rFonts w:ascii="Helvetica" w:eastAsia="Times New Roman" w:hAnsi="Helvetica" w:cs="Helvetica"/>
                      <w:color w:val="4B4B4B"/>
                      <w:sz w:val="21"/>
                      <w:szCs w:val="21"/>
                    </w:rPr>
                  </w:pPr>
                </w:p>
                <w:p w14:paraId="140E73B8" w14:textId="77777777" w:rsidR="00580278" w:rsidRDefault="00580278">
                  <w:pPr>
                    <w:spacing w:line="315" w:lineRule="atLeast"/>
                    <w:rPr>
                      <w:rFonts w:ascii="Helvetica" w:eastAsia="Times New Roman" w:hAnsi="Helvetica" w:cs="Helvetica"/>
                      <w:color w:val="4B4B4B"/>
                      <w:sz w:val="21"/>
                      <w:szCs w:val="21"/>
                    </w:rPr>
                  </w:pPr>
                  <w:r>
                    <w:rPr>
                      <w:rFonts w:ascii="Helvetica" w:eastAsia="Times New Roman" w:hAnsi="Helvetica" w:cs="Helvetica"/>
                      <w:color w:val="4B4B4B"/>
                      <w:sz w:val="21"/>
                      <w:szCs w:val="21"/>
                    </w:rPr>
                    <w:t>Het doel van de buurthuiskamers is om mensen uit een sociaal isolement te halen of dit isolement te voorkomen. In de buurthuiskamers kunnen buurtbewoners elkaar leren kennen, waardoor gewerkt wordt aan hun sociale netwerk en bovendien de buurt wordt versterkt. Het overgrote deel van de buurthuiskamers is niet gesubsidieerd, waardoor het bestaan volledig afhankelijk is van giften en donaties.</w:t>
                  </w:r>
                </w:p>
                <w:p w14:paraId="097A1EA2" w14:textId="77777777" w:rsidR="00580278" w:rsidRDefault="00580278">
                  <w:pPr>
                    <w:spacing w:line="315" w:lineRule="atLeast"/>
                    <w:rPr>
                      <w:rFonts w:ascii="Helvetica" w:eastAsia="Times New Roman" w:hAnsi="Helvetica" w:cs="Helvetica"/>
                      <w:color w:val="4B4B4B"/>
                      <w:sz w:val="21"/>
                      <w:szCs w:val="21"/>
                    </w:rPr>
                  </w:pPr>
                </w:p>
                <w:p w14:paraId="2CF5D697" w14:textId="77777777" w:rsidR="00580278" w:rsidRDefault="00580278">
                  <w:pPr>
                    <w:spacing w:line="315" w:lineRule="atLeast"/>
                    <w:rPr>
                      <w:rFonts w:ascii="Helvetica" w:eastAsia="Times New Roman" w:hAnsi="Helvetica" w:cs="Helvetica"/>
                      <w:color w:val="4B4B4B"/>
                      <w:sz w:val="21"/>
                      <w:szCs w:val="21"/>
                    </w:rPr>
                  </w:pPr>
                  <w:r>
                    <w:rPr>
                      <w:rStyle w:val="Zwaar"/>
                      <w:rFonts w:eastAsia="Times New Roman"/>
                    </w:rPr>
                    <w:t>Vangnet</w:t>
                  </w:r>
                </w:p>
                <w:p w14:paraId="6E3618FF" w14:textId="77777777" w:rsidR="00580278" w:rsidRDefault="00580278">
                  <w:pPr>
                    <w:spacing w:line="315" w:lineRule="atLeast"/>
                    <w:rPr>
                      <w:rFonts w:ascii="Helvetica" w:eastAsia="Times New Roman" w:hAnsi="Helvetica" w:cs="Helvetica"/>
                      <w:color w:val="4B4B4B"/>
                      <w:sz w:val="21"/>
                      <w:szCs w:val="21"/>
                    </w:rPr>
                  </w:pPr>
                  <w:r>
                    <w:rPr>
                      <w:rFonts w:ascii="Helvetica" w:eastAsia="Times New Roman" w:hAnsi="Helvetica" w:cs="Helvetica"/>
                      <w:color w:val="4B4B4B"/>
                      <w:sz w:val="21"/>
                      <w:szCs w:val="21"/>
                    </w:rPr>
                    <w:t>In de buurthuiskamers kunnen mensen terecht voor een kopje koffie, een spelletje, een maaltijd, een (pastoraal) gesprek, zingevingsvragen of bijvoorbeeld tweedehands kleding. Op steeds meer locaties wordt ook schuldhulp en huiswerkbegeleiding geboden, aangevuld met lokale activiteiten. Zeker voor mensen met minder bestedingsruimte is zo'n locatie vaak echt een vangnet.</w:t>
                  </w:r>
                </w:p>
                <w:p w14:paraId="2C69ED0B" w14:textId="77777777" w:rsidR="00580278" w:rsidRDefault="00580278">
                  <w:pPr>
                    <w:spacing w:line="315" w:lineRule="atLeast"/>
                    <w:rPr>
                      <w:rFonts w:ascii="Helvetica" w:eastAsia="Times New Roman" w:hAnsi="Helvetica" w:cs="Helvetica"/>
                      <w:color w:val="4B4B4B"/>
                      <w:sz w:val="21"/>
                      <w:szCs w:val="21"/>
                    </w:rPr>
                  </w:pPr>
                </w:p>
                <w:p w14:paraId="76B782F4" w14:textId="77777777" w:rsidR="00580278" w:rsidRDefault="00580278">
                  <w:pPr>
                    <w:spacing w:line="315" w:lineRule="atLeast"/>
                    <w:rPr>
                      <w:rFonts w:ascii="Helvetica" w:eastAsia="Times New Roman" w:hAnsi="Helvetica" w:cs="Helvetica"/>
                      <w:color w:val="4B4B4B"/>
                      <w:sz w:val="21"/>
                      <w:szCs w:val="21"/>
                    </w:rPr>
                  </w:pPr>
                  <w:r>
                    <w:rPr>
                      <w:rStyle w:val="Zwaar"/>
                      <w:rFonts w:eastAsia="Times New Roman"/>
                    </w:rPr>
                    <w:t>Ook online</w:t>
                  </w:r>
                </w:p>
                <w:p w14:paraId="7927C12D" w14:textId="77777777" w:rsidR="00580278" w:rsidRDefault="00580278">
                  <w:pPr>
                    <w:spacing w:line="315" w:lineRule="atLeast"/>
                    <w:rPr>
                      <w:rFonts w:ascii="Helvetica" w:eastAsia="Times New Roman" w:hAnsi="Helvetica" w:cs="Helvetica"/>
                      <w:color w:val="4B4B4B"/>
                      <w:sz w:val="21"/>
                      <w:szCs w:val="21"/>
                    </w:rPr>
                  </w:pPr>
                  <w:r>
                    <w:rPr>
                      <w:rFonts w:ascii="Helvetica" w:eastAsia="Times New Roman" w:hAnsi="Helvetica" w:cs="Helvetica"/>
                      <w:color w:val="4B4B4B"/>
                      <w:sz w:val="21"/>
                      <w:szCs w:val="21"/>
                    </w:rPr>
                    <w:t>Voor wie niet aan de deur kan geven, heeft het Leger des Heils een mogelijkheid gecreëerd om online aan de collecte te geven. Op doneren.legerdesheils.nl is daarover meer informatie te vinden.</w:t>
                  </w:r>
                </w:p>
                <w:p w14:paraId="052AC2FA" w14:textId="77777777" w:rsidR="00580278" w:rsidRDefault="00580278">
                  <w:pPr>
                    <w:spacing w:line="315" w:lineRule="atLeast"/>
                    <w:rPr>
                      <w:rFonts w:ascii="Helvetica" w:eastAsia="Times New Roman" w:hAnsi="Helvetica" w:cs="Helvetica"/>
                      <w:color w:val="4B4B4B"/>
                      <w:sz w:val="21"/>
                      <w:szCs w:val="21"/>
                    </w:rPr>
                  </w:pPr>
                </w:p>
                <w:tbl>
                  <w:tblPr>
                    <w:tblW w:w="5000" w:type="pct"/>
                    <w:tblCellMar>
                      <w:left w:w="0" w:type="dxa"/>
                      <w:right w:w="0" w:type="dxa"/>
                    </w:tblCellMar>
                    <w:tblLook w:val="04A0" w:firstRow="1" w:lastRow="0" w:firstColumn="1" w:lastColumn="0" w:noHBand="0" w:noVBand="1"/>
                  </w:tblPr>
                  <w:tblGrid>
                    <w:gridCol w:w="8010"/>
                  </w:tblGrid>
                  <w:tr w:rsidR="00580278" w14:paraId="0BFFA6FD" w14:textId="77777777">
                    <w:tc>
                      <w:tcPr>
                        <w:tcW w:w="0" w:type="auto"/>
                        <w:vAlign w:val="center"/>
                        <w:hideMark/>
                      </w:tcPr>
                      <w:tbl>
                        <w:tblPr>
                          <w:tblW w:w="0" w:type="auto"/>
                          <w:tblCellMar>
                            <w:left w:w="0" w:type="dxa"/>
                            <w:right w:w="0" w:type="dxa"/>
                          </w:tblCellMar>
                          <w:tblLook w:val="04A0" w:firstRow="1" w:lastRow="0" w:firstColumn="1" w:lastColumn="0" w:noHBand="0" w:noVBand="1"/>
                        </w:tblPr>
                        <w:tblGrid>
                          <w:gridCol w:w="8010"/>
                        </w:tblGrid>
                        <w:tr w:rsidR="00580278" w14:paraId="4D903B50" w14:textId="77777777">
                          <w:tc>
                            <w:tcPr>
                              <w:tcW w:w="0" w:type="auto"/>
                              <w:vAlign w:val="center"/>
                              <w:hideMark/>
                            </w:tcPr>
                            <w:p w14:paraId="5486AC63" w14:textId="52BCF797" w:rsidR="00580278" w:rsidRDefault="00580278">
                              <w:pPr>
                                <w:rPr>
                                  <w:rFonts w:ascii="Helvetica" w:eastAsia="Times New Roman" w:hAnsi="Helvetica" w:cs="Helvetica"/>
                                  <w:color w:val="4B4B4B"/>
                                  <w:sz w:val="21"/>
                                  <w:szCs w:val="21"/>
                                </w:rPr>
                              </w:pPr>
                              <w:r>
                                <w:rPr>
                                  <w:rFonts w:ascii="Helvetica" w:eastAsia="Times New Roman" w:hAnsi="Helvetica" w:cs="Helvetica"/>
                                  <w:noProof/>
                                  <w:color w:val="4B4B4B"/>
                                  <w:sz w:val="21"/>
                                  <w:szCs w:val="21"/>
                                </w:rPr>
                                <w:lastRenderedPageBreak/>
                                <w:drawing>
                                  <wp:inline distT="0" distB="0" distL="0" distR="0" wp14:anchorId="069739A9" wp14:editId="43349174">
                                    <wp:extent cx="5082540" cy="3390900"/>
                                    <wp:effectExtent l="0" t="0" r="3810" b="0"/>
                                    <wp:docPr id="1" name="Afbeelding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2540" cy="3390900"/>
                                            </a:xfrm>
                                            <a:prstGeom prst="rect">
                                              <a:avLst/>
                                            </a:prstGeom>
                                            <a:noFill/>
                                            <a:ln>
                                              <a:noFill/>
                                            </a:ln>
                                          </pic:spPr>
                                        </pic:pic>
                                      </a:graphicData>
                                    </a:graphic>
                                  </wp:inline>
                                </w:drawing>
                              </w:r>
                            </w:p>
                          </w:tc>
                        </w:tr>
                      </w:tbl>
                      <w:p w14:paraId="314054BD" w14:textId="77777777" w:rsidR="00580278" w:rsidRDefault="00580278">
                        <w:pPr>
                          <w:rPr>
                            <w:rFonts w:ascii="Times New Roman" w:eastAsia="Times New Roman" w:hAnsi="Times New Roman" w:cs="Times New Roman"/>
                            <w:color w:val="auto"/>
                            <w:sz w:val="20"/>
                            <w:szCs w:val="20"/>
                          </w:rPr>
                        </w:pPr>
                      </w:p>
                    </w:tc>
                  </w:tr>
                </w:tbl>
                <w:p w14:paraId="69B5E098" w14:textId="77777777" w:rsidR="00580278" w:rsidRDefault="00580278">
                  <w:pPr>
                    <w:spacing w:line="315" w:lineRule="atLeast"/>
                    <w:rPr>
                      <w:rFonts w:ascii="Helvetica" w:eastAsia="Times New Roman" w:hAnsi="Helvetica" w:cs="Helvetica"/>
                      <w:color w:val="4B4B4B"/>
                      <w:sz w:val="21"/>
                      <w:szCs w:val="21"/>
                    </w:rPr>
                  </w:pPr>
                  <w:r>
                    <w:rPr>
                      <w:rFonts w:ascii="Helvetica" w:eastAsia="Times New Roman" w:hAnsi="Helvetica" w:cs="Helvetica"/>
                      <w:color w:val="4B4B4B"/>
                      <w:sz w:val="21"/>
                      <w:szCs w:val="21"/>
                    </w:rPr>
                    <w:t> </w:t>
                  </w:r>
                </w:p>
              </w:tc>
              <w:tc>
                <w:tcPr>
                  <w:tcW w:w="525" w:type="dxa"/>
                  <w:vAlign w:val="center"/>
                  <w:hideMark/>
                </w:tcPr>
                <w:p w14:paraId="01761944" w14:textId="77777777" w:rsidR="00580278" w:rsidRDefault="00580278">
                  <w:pPr>
                    <w:rPr>
                      <w:rFonts w:ascii="Helvetica" w:eastAsia="Times New Roman" w:hAnsi="Helvetica" w:cs="Helvetica"/>
                      <w:color w:val="4B4B4B"/>
                      <w:sz w:val="21"/>
                      <w:szCs w:val="21"/>
                    </w:rPr>
                  </w:pPr>
                  <w:r>
                    <w:rPr>
                      <w:rFonts w:ascii="Helvetica" w:eastAsia="Times New Roman" w:hAnsi="Helvetica" w:cs="Helvetica"/>
                      <w:color w:val="4B4B4B"/>
                      <w:sz w:val="21"/>
                      <w:szCs w:val="21"/>
                    </w:rPr>
                    <w:lastRenderedPageBreak/>
                    <w:t> </w:t>
                  </w:r>
                </w:p>
              </w:tc>
              <w:tc>
                <w:tcPr>
                  <w:tcW w:w="15" w:type="dxa"/>
                  <w:shd w:val="clear" w:color="auto" w:fill="C3C3C3"/>
                  <w:vAlign w:val="center"/>
                  <w:hideMark/>
                </w:tcPr>
                <w:p w14:paraId="2AB3E45A" w14:textId="77777777" w:rsidR="00580278" w:rsidRDefault="00580278">
                  <w:pPr>
                    <w:rPr>
                      <w:rFonts w:ascii="Helvetica" w:eastAsia="Times New Roman" w:hAnsi="Helvetica" w:cs="Helvetica"/>
                      <w:color w:val="4B4B4B"/>
                      <w:sz w:val="21"/>
                      <w:szCs w:val="21"/>
                    </w:rPr>
                  </w:pPr>
                </w:p>
              </w:tc>
            </w:tr>
          </w:tbl>
          <w:p w14:paraId="4AF535E3" w14:textId="77777777" w:rsidR="00580278" w:rsidRDefault="00580278">
            <w:pPr>
              <w:rPr>
                <w:rFonts w:ascii="Times New Roman" w:eastAsia="Times New Roman" w:hAnsi="Times New Roman" w:cs="Times New Roman"/>
                <w:color w:val="auto"/>
                <w:sz w:val="20"/>
                <w:szCs w:val="20"/>
              </w:rPr>
            </w:pPr>
          </w:p>
        </w:tc>
      </w:tr>
    </w:tbl>
    <w:p w14:paraId="3D7DD4DA" w14:textId="77777777" w:rsidR="00390D71" w:rsidRDefault="00580278"/>
    <w:sectPr w:rsidR="00390D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278"/>
    <w:rsid w:val="00580278"/>
    <w:rsid w:val="006B1CD9"/>
    <w:rsid w:val="00FD3F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BFF77"/>
  <w15:chartTrackingRefBased/>
  <w15:docId w15:val="{628CF047-EC96-45D6-94C8-61C850F8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80278"/>
    <w:pPr>
      <w:spacing w:after="0" w:line="240" w:lineRule="auto"/>
    </w:pPr>
    <w:rPr>
      <w:rFonts w:ascii="Calibri" w:hAnsi="Calibri" w:cs="Calibri"/>
      <w:color w:val="333333"/>
      <w:lang w:eastAsia="nl-NL"/>
    </w:rPr>
  </w:style>
  <w:style w:type="paragraph" w:styleId="Kop1">
    <w:name w:val="heading 1"/>
    <w:basedOn w:val="Standaard"/>
    <w:link w:val="Kop1Char"/>
    <w:uiPriority w:val="9"/>
    <w:qFormat/>
    <w:rsid w:val="00580278"/>
    <w:pPr>
      <w:spacing w:before="210" w:after="180" w:line="288" w:lineRule="auto"/>
      <w:outlineLvl w:val="0"/>
    </w:pPr>
    <w:rPr>
      <w:rFonts w:ascii="Helvetica" w:hAnsi="Helvetica" w:cs="Helvetica"/>
      <w:color w:val="4B4B4B"/>
      <w:kern w:val="36"/>
      <w:sz w:val="45"/>
      <w:szCs w:val="45"/>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80278"/>
    <w:rPr>
      <w:rFonts w:ascii="Helvetica" w:hAnsi="Helvetica" w:cs="Helvetica"/>
      <w:color w:val="4B4B4B"/>
      <w:kern w:val="36"/>
      <w:sz w:val="45"/>
      <w:szCs w:val="45"/>
      <w:lang w:eastAsia="nl-NL"/>
    </w:rPr>
  </w:style>
  <w:style w:type="character" w:styleId="Zwaar">
    <w:name w:val="Strong"/>
    <w:basedOn w:val="Standaardalinea-lettertype"/>
    <w:uiPriority w:val="22"/>
    <w:qFormat/>
    <w:rsid w:val="00580278"/>
    <w:rPr>
      <w:rFonts w:ascii="Helvetica" w:hAnsi="Helvetica" w:cs="Helvetica" w:hint="default"/>
      <w:b/>
      <w:bCs/>
      <w:color w:val="4B4B4B"/>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83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236</Words>
  <Characters>1304</Characters>
  <Application>Microsoft Office Word</Application>
  <DocSecurity>0</DocSecurity>
  <Lines>10</Lines>
  <Paragraphs>3</Paragraphs>
  <ScaleCrop>false</ScaleCrop>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Geke van Wijnen</dc:creator>
  <cp:keywords/>
  <dc:description/>
  <cp:lastModifiedBy>Geke van Wijnen</cp:lastModifiedBy>
  <cp:revision>1</cp:revision>
  <dcterms:created xsi:type="dcterms:W3CDTF">2021-11-22T10:54:00Z</dcterms:created>
  <dcterms:modified xsi:type="dcterms:W3CDTF">2021-11-22T10:56:00Z</dcterms:modified>
</cp:coreProperties>
</file>