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0" w:type="dxa"/>
        <w:tblCellMar>
          <w:left w:w="0" w:type="dxa"/>
          <w:right w:w="0" w:type="dxa"/>
        </w:tblCellMar>
        <w:tblLook w:val="04A0" w:firstRow="1" w:lastRow="0" w:firstColumn="1" w:lastColumn="0" w:noHBand="0" w:noVBand="1"/>
      </w:tblPr>
      <w:tblGrid>
        <w:gridCol w:w="6"/>
        <w:gridCol w:w="9060"/>
        <w:gridCol w:w="6"/>
      </w:tblGrid>
      <w:tr w:rsidR="004C33D5" w14:paraId="291745D2" w14:textId="77777777" w:rsidTr="004C33D5">
        <w:trPr>
          <w:trHeight w:val="225"/>
          <w:tblCellSpacing w:w="0" w:type="dxa"/>
          <w:jc w:val="center"/>
        </w:trPr>
        <w:tc>
          <w:tcPr>
            <w:tcW w:w="0" w:type="auto"/>
            <w:gridSpan w:val="3"/>
            <w:vAlign w:val="bottom"/>
            <w:hideMark/>
          </w:tcPr>
          <w:p w14:paraId="3DACCBE8" w14:textId="77777777" w:rsidR="004C33D5" w:rsidRDefault="004C33D5">
            <w:pPr>
              <w:spacing w:line="15" w:lineRule="atLeast"/>
              <w:rPr>
                <w:sz w:val="2"/>
                <w:szCs w:val="2"/>
              </w:rPr>
            </w:pPr>
            <w:r>
              <w:rPr>
                <w:sz w:val="2"/>
                <w:szCs w:val="2"/>
              </w:rPr>
              <w:t> </w:t>
            </w:r>
          </w:p>
        </w:tc>
      </w:tr>
      <w:tr w:rsidR="004C33D5" w14:paraId="51308942" w14:textId="77777777" w:rsidTr="004C33D5">
        <w:trPr>
          <w:tblCellSpacing w:w="0" w:type="dxa"/>
          <w:jc w:val="center"/>
        </w:trPr>
        <w:tc>
          <w:tcPr>
            <w:tcW w:w="225" w:type="dxa"/>
            <w:hideMark/>
          </w:tcPr>
          <w:p w14:paraId="7CDE4827" w14:textId="77777777" w:rsidR="004C33D5" w:rsidRDefault="004C33D5">
            <w:pPr>
              <w:rPr>
                <w:sz w:val="2"/>
                <w:szCs w:val="2"/>
              </w:rPr>
            </w:pPr>
          </w:p>
        </w:tc>
        <w:tc>
          <w:tcPr>
            <w:tcW w:w="0" w:type="auto"/>
            <w:hideMark/>
          </w:tcPr>
          <w:tbl>
            <w:tblPr>
              <w:tblW w:w="9090" w:type="dxa"/>
              <w:tblCellSpacing w:w="0" w:type="dxa"/>
              <w:tblCellMar>
                <w:left w:w="0" w:type="dxa"/>
                <w:right w:w="0" w:type="dxa"/>
              </w:tblCellMar>
              <w:tblLook w:val="04A0" w:firstRow="1" w:lastRow="0" w:firstColumn="1" w:lastColumn="0" w:noHBand="0" w:noVBand="1"/>
            </w:tblPr>
            <w:tblGrid>
              <w:gridCol w:w="9090"/>
            </w:tblGrid>
            <w:tr w:rsidR="004C33D5" w14:paraId="28BA4BD8"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90"/>
                  </w:tblGrid>
                  <w:tr w:rsidR="004C33D5" w14:paraId="1739D64C" w14:textId="77777777">
                    <w:trPr>
                      <w:trHeight w:val="15"/>
                      <w:tblCellSpacing w:w="0" w:type="dxa"/>
                    </w:trPr>
                    <w:tc>
                      <w:tcPr>
                        <w:tcW w:w="0" w:type="auto"/>
                        <w:shd w:val="clear" w:color="auto" w:fill="C3C3C3"/>
                        <w:vAlign w:val="center"/>
                        <w:hideMark/>
                      </w:tcPr>
                      <w:p w14:paraId="7682E937" w14:textId="77777777" w:rsidR="004C33D5" w:rsidRDefault="004C33D5">
                        <w:pPr>
                          <w:rPr>
                            <w:rFonts w:ascii="Times New Roman" w:eastAsia="Times New Roman" w:hAnsi="Times New Roman" w:cs="Times New Roman"/>
                            <w:sz w:val="20"/>
                            <w:szCs w:val="20"/>
                          </w:rPr>
                        </w:pPr>
                      </w:p>
                    </w:tc>
                  </w:tr>
                  <w:tr w:rsidR="004C33D5" w14:paraId="0CF14546"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25"/>
                          <w:gridCol w:w="8535"/>
                          <w:gridCol w:w="15"/>
                        </w:tblGrid>
                        <w:tr w:rsidR="004C33D5" w14:paraId="1BA7AEFB" w14:textId="77777777">
                          <w:trPr>
                            <w:trHeight w:val="150"/>
                            <w:tblCellSpacing w:w="0" w:type="dxa"/>
                          </w:trPr>
                          <w:tc>
                            <w:tcPr>
                              <w:tcW w:w="15" w:type="dxa"/>
                              <w:shd w:val="clear" w:color="auto" w:fill="C3C3C3"/>
                              <w:vAlign w:val="center"/>
                              <w:hideMark/>
                            </w:tcPr>
                            <w:p w14:paraId="20DEEA11" w14:textId="77777777" w:rsidR="004C33D5" w:rsidRDefault="004C33D5">
                              <w:pPr>
                                <w:rPr>
                                  <w:rFonts w:ascii="Times New Roman" w:eastAsia="Times New Roman" w:hAnsi="Times New Roman" w:cs="Times New Roman"/>
                                  <w:sz w:val="20"/>
                                  <w:szCs w:val="20"/>
                                </w:rPr>
                              </w:pPr>
                            </w:p>
                          </w:tc>
                          <w:tc>
                            <w:tcPr>
                              <w:tcW w:w="525" w:type="dxa"/>
                              <w:vAlign w:val="center"/>
                              <w:hideMark/>
                            </w:tcPr>
                            <w:p w14:paraId="22C65A74" w14:textId="77777777" w:rsidR="004C33D5" w:rsidRDefault="004C33D5">
                              <w:r>
                                <w:t> </w:t>
                              </w:r>
                            </w:p>
                          </w:tc>
                          <w:tc>
                            <w:tcPr>
                              <w:tcW w:w="525" w:type="dxa"/>
                              <w:vAlign w:val="center"/>
                              <w:hideMark/>
                            </w:tcPr>
                            <w:p w14:paraId="2E88EA89" w14:textId="77777777" w:rsidR="004C33D5" w:rsidRDefault="004C33D5"/>
                          </w:tc>
                          <w:tc>
                            <w:tcPr>
                              <w:tcW w:w="15" w:type="dxa"/>
                              <w:shd w:val="clear" w:color="auto" w:fill="C3C3C3"/>
                              <w:vAlign w:val="center"/>
                              <w:hideMark/>
                            </w:tcPr>
                            <w:p w14:paraId="559A4DCE" w14:textId="77777777" w:rsidR="004C33D5" w:rsidRDefault="004C33D5">
                              <w:pPr>
                                <w:rPr>
                                  <w:rFonts w:ascii="Times New Roman" w:eastAsia="Times New Roman" w:hAnsi="Times New Roman" w:cs="Times New Roman"/>
                                  <w:sz w:val="20"/>
                                  <w:szCs w:val="20"/>
                                </w:rPr>
                              </w:pPr>
                            </w:p>
                          </w:tc>
                        </w:tr>
                        <w:tr w:rsidR="004C33D5" w14:paraId="204B159C" w14:textId="77777777">
                          <w:trPr>
                            <w:tblCellSpacing w:w="0" w:type="dxa"/>
                          </w:trPr>
                          <w:tc>
                            <w:tcPr>
                              <w:tcW w:w="15" w:type="dxa"/>
                              <w:shd w:val="clear" w:color="auto" w:fill="C3C3C3"/>
                              <w:vAlign w:val="center"/>
                              <w:hideMark/>
                            </w:tcPr>
                            <w:p w14:paraId="0AF0902E" w14:textId="77777777" w:rsidR="004C33D5" w:rsidRDefault="004C33D5">
                              <w:pPr>
                                <w:rPr>
                                  <w:rFonts w:ascii="Times New Roman" w:eastAsia="Times New Roman" w:hAnsi="Times New Roman" w:cs="Times New Roman"/>
                                  <w:sz w:val="20"/>
                                  <w:szCs w:val="20"/>
                                </w:rPr>
                              </w:pPr>
                            </w:p>
                          </w:tc>
                          <w:tc>
                            <w:tcPr>
                              <w:tcW w:w="525" w:type="dxa"/>
                              <w:vAlign w:val="center"/>
                              <w:hideMark/>
                            </w:tcPr>
                            <w:p w14:paraId="49D7E2A4" w14:textId="77777777" w:rsidR="004C33D5" w:rsidRDefault="004C33D5">
                              <w:r>
                                <w:t> </w:t>
                              </w:r>
                            </w:p>
                          </w:tc>
                          <w:tc>
                            <w:tcPr>
                              <w:tcW w:w="8535" w:type="dxa"/>
                              <w:vAlign w:val="center"/>
                              <w:hideMark/>
                            </w:tcPr>
                            <w:p w14:paraId="7A1E94AD" w14:textId="77777777" w:rsidR="004C33D5" w:rsidRDefault="004C33D5">
                              <w:r>
                                <w:rPr>
                                  <w:noProof/>
                                </w:rPr>
                                <w:drawing>
                                  <wp:inline distT="0" distB="0" distL="0" distR="0" wp14:anchorId="1FD41C8C" wp14:editId="2757F7EF">
                                    <wp:extent cx="2377440" cy="53340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533400"/>
                                            </a:xfrm>
                                            <a:prstGeom prst="rect">
                                              <a:avLst/>
                                            </a:prstGeom>
                                            <a:noFill/>
                                            <a:ln>
                                              <a:noFill/>
                                            </a:ln>
                                          </pic:spPr>
                                        </pic:pic>
                                      </a:graphicData>
                                    </a:graphic>
                                  </wp:inline>
                                </w:drawing>
                              </w:r>
                            </w:p>
                          </w:tc>
                          <w:tc>
                            <w:tcPr>
                              <w:tcW w:w="15" w:type="dxa"/>
                              <w:shd w:val="clear" w:color="auto" w:fill="C3C3C3"/>
                              <w:vAlign w:val="center"/>
                              <w:hideMark/>
                            </w:tcPr>
                            <w:p w14:paraId="023AAEA8" w14:textId="77777777" w:rsidR="004C33D5" w:rsidRDefault="004C33D5"/>
                          </w:tc>
                        </w:tr>
                        <w:tr w:rsidR="004C33D5" w14:paraId="457C4EBA" w14:textId="77777777">
                          <w:trPr>
                            <w:trHeight w:val="300"/>
                            <w:tblCellSpacing w:w="0" w:type="dxa"/>
                          </w:trPr>
                          <w:tc>
                            <w:tcPr>
                              <w:tcW w:w="15" w:type="dxa"/>
                              <w:shd w:val="clear" w:color="auto" w:fill="C3C3C3"/>
                              <w:vAlign w:val="center"/>
                              <w:hideMark/>
                            </w:tcPr>
                            <w:p w14:paraId="7B88CC73" w14:textId="77777777" w:rsidR="004C33D5" w:rsidRDefault="004C33D5">
                              <w:pPr>
                                <w:rPr>
                                  <w:rFonts w:ascii="Times New Roman" w:eastAsia="Times New Roman" w:hAnsi="Times New Roman" w:cs="Times New Roman"/>
                                  <w:sz w:val="20"/>
                                  <w:szCs w:val="20"/>
                                </w:rPr>
                              </w:pPr>
                            </w:p>
                          </w:tc>
                          <w:tc>
                            <w:tcPr>
                              <w:tcW w:w="525" w:type="dxa"/>
                              <w:vAlign w:val="center"/>
                              <w:hideMark/>
                            </w:tcPr>
                            <w:p w14:paraId="4A185342" w14:textId="77777777" w:rsidR="004C33D5" w:rsidRDefault="004C33D5">
                              <w:r>
                                <w:t> </w:t>
                              </w:r>
                            </w:p>
                          </w:tc>
                          <w:tc>
                            <w:tcPr>
                              <w:tcW w:w="8535" w:type="dxa"/>
                              <w:vAlign w:val="center"/>
                              <w:hideMark/>
                            </w:tcPr>
                            <w:p w14:paraId="223EF201" w14:textId="77777777" w:rsidR="004C33D5" w:rsidRDefault="004C33D5"/>
                          </w:tc>
                          <w:tc>
                            <w:tcPr>
                              <w:tcW w:w="15" w:type="dxa"/>
                              <w:shd w:val="clear" w:color="auto" w:fill="C3C3C3"/>
                              <w:vAlign w:val="center"/>
                              <w:hideMark/>
                            </w:tcPr>
                            <w:p w14:paraId="63D6E0D6" w14:textId="77777777" w:rsidR="004C33D5" w:rsidRDefault="004C33D5">
                              <w:pPr>
                                <w:rPr>
                                  <w:rFonts w:ascii="Times New Roman" w:eastAsia="Times New Roman" w:hAnsi="Times New Roman" w:cs="Times New Roman"/>
                                  <w:sz w:val="20"/>
                                  <w:szCs w:val="20"/>
                                </w:rPr>
                              </w:pPr>
                            </w:p>
                          </w:tc>
                        </w:tr>
                      </w:tbl>
                      <w:p w14:paraId="4CE51F5E" w14:textId="77777777" w:rsidR="004C33D5" w:rsidRDefault="004C33D5">
                        <w:pPr>
                          <w:rPr>
                            <w:rFonts w:ascii="Times New Roman" w:eastAsia="Times New Roman" w:hAnsi="Times New Roman" w:cs="Times New Roman"/>
                            <w:sz w:val="20"/>
                            <w:szCs w:val="20"/>
                          </w:rPr>
                        </w:pPr>
                      </w:p>
                    </w:tc>
                  </w:tr>
                </w:tbl>
                <w:p w14:paraId="1EFB4607" w14:textId="77777777" w:rsidR="004C33D5" w:rsidRDefault="004C33D5">
                  <w:pPr>
                    <w:rPr>
                      <w:rFonts w:ascii="Times New Roman" w:eastAsia="Times New Roman" w:hAnsi="Times New Roman" w:cs="Times New Roman"/>
                      <w:sz w:val="20"/>
                      <w:szCs w:val="20"/>
                    </w:rPr>
                  </w:pPr>
                </w:p>
              </w:tc>
            </w:tr>
            <w:tr w:rsidR="004C33D5" w14:paraId="1AA5DA4A"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
                    <w:gridCol w:w="525"/>
                    <w:gridCol w:w="8010"/>
                    <w:gridCol w:w="525"/>
                    <w:gridCol w:w="15"/>
                  </w:tblGrid>
                  <w:tr w:rsidR="004C33D5" w14:paraId="3C64E44E" w14:textId="77777777">
                    <w:trPr>
                      <w:tblCellSpacing w:w="0" w:type="dxa"/>
                    </w:trPr>
                    <w:tc>
                      <w:tcPr>
                        <w:tcW w:w="15" w:type="dxa"/>
                        <w:shd w:val="clear" w:color="auto" w:fill="C3C3C3"/>
                        <w:vAlign w:val="center"/>
                        <w:hideMark/>
                      </w:tcPr>
                      <w:p w14:paraId="0DFC5405" w14:textId="77777777" w:rsidR="004C33D5" w:rsidRDefault="004C33D5">
                        <w:pPr>
                          <w:rPr>
                            <w:rFonts w:ascii="Times New Roman" w:eastAsia="Times New Roman" w:hAnsi="Times New Roman" w:cs="Times New Roman"/>
                            <w:sz w:val="20"/>
                            <w:szCs w:val="20"/>
                          </w:rPr>
                        </w:pPr>
                      </w:p>
                    </w:tc>
                    <w:tc>
                      <w:tcPr>
                        <w:tcW w:w="525" w:type="dxa"/>
                        <w:vAlign w:val="center"/>
                        <w:hideMark/>
                      </w:tcPr>
                      <w:p w14:paraId="24300049" w14:textId="77777777" w:rsidR="004C33D5" w:rsidRDefault="004C33D5">
                        <w:r>
                          <w:t> </w:t>
                        </w:r>
                      </w:p>
                    </w:tc>
                    <w:tc>
                      <w:tcPr>
                        <w:tcW w:w="8010" w:type="dxa"/>
                      </w:tcPr>
                      <w:p w14:paraId="6087BA66" w14:textId="77777777" w:rsidR="004C33D5" w:rsidRDefault="004C33D5">
                        <w:pPr>
                          <w:spacing w:line="315" w:lineRule="atLeast"/>
                          <w:rPr>
                            <w:rFonts w:ascii="Helvetica" w:hAnsi="Helvetica" w:cs="Helvetica"/>
                            <w:color w:val="4B4B4B"/>
                            <w:sz w:val="21"/>
                            <w:szCs w:val="21"/>
                          </w:rPr>
                        </w:pPr>
                        <w:r>
                          <w:rPr>
                            <w:rFonts w:ascii="Helvetica" w:hAnsi="Helvetica" w:cs="Helvetica"/>
                            <w:color w:val="4B4B4B"/>
                            <w:sz w:val="21"/>
                            <w:szCs w:val="21"/>
                          </w:rPr>
                          <w:t>20 september 2021</w:t>
                        </w:r>
                      </w:p>
                      <w:p w14:paraId="5206B8A4" w14:textId="27FBBD68" w:rsidR="004C33D5" w:rsidRDefault="004C33D5">
                        <w:pPr>
                          <w:pStyle w:val="Kop1"/>
                          <w:spacing w:before="210" w:beforeAutospacing="0" w:after="180" w:afterAutospacing="0" w:line="288" w:lineRule="auto"/>
                          <w:rPr>
                            <w:rFonts w:ascii="Helvetica" w:eastAsia="Times New Roman" w:hAnsi="Helvetica" w:cs="Helvetica"/>
                            <w:b w:val="0"/>
                            <w:bCs w:val="0"/>
                            <w:color w:val="4B4B4B"/>
                            <w:sz w:val="45"/>
                            <w:szCs w:val="45"/>
                          </w:rPr>
                        </w:pPr>
                        <w:r>
                          <w:rPr>
                            <w:rFonts w:ascii="Helvetica" w:eastAsia="Times New Roman" w:hAnsi="Helvetica" w:cs="Helvetica"/>
                            <w:b w:val="0"/>
                            <w:bCs w:val="0"/>
                            <w:color w:val="4B4B4B"/>
                            <w:sz w:val="45"/>
                            <w:szCs w:val="45"/>
                          </w:rPr>
                          <w:t xml:space="preserve">Leger des Heils zoekt collectanten in </w:t>
                        </w:r>
                        <w:r w:rsidR="00276CC0" w:rsidRPr="00276CC0">
                          <w:rPr>
                            <w:rFonts w:ascii="Helvetica" w:eastAsia="Times New Roman" w:hAnsi="Helvetica" w:cs="Helvetica"/>
                            <w:b w:val="0"/>
                            <w:bCs w:val="0"/>
                            <w:color w:val="4B4B4B"/>
                            <w:sz w:val="45"/>
                            <w:szCs w:val="45"/>
                            <w:highlight w:val="yellow"/>
                          </w:rPr>
                          <w:t>vul hier uw g</w:t>
                        </w:r>
                        <w:r w:rsidRPr="00276CC0">
                          <w:rPr>
                            <w:rFonts w:ascii="Helvetica" w:eastAsia="Times New Roman" w:hAnsi="Helvetica" w:cs="Helvetica"/>
                            <w:b w:val="0"/>
                            <w:bCs w:val="0"/>
                            <w:color w:val="4B4B4B"/>
                            <w:sz w:val="45"/>
                            <w:szCs w:val="45"/>
                            <w:highlight w:val="yellow"/>
                          </w:rPr>
                          <w:t>emeente</w:t>
                        </w:r>
                        <w:r w:rsidR="00276CC0" w:rsidRPr="00276CC0">
                          <w:rPr>
                            <w:rFonts w:ascii="Helvetica" w:eastAsia="Times New Roman" w:hAnsi="Helvetica" w:cs="Helvetica"/>
                            <w:b w:val="0"/>
                            <w:bCs w:val="0"/>
                            <w:color w:val="4B4B4B"/>
                            <w:sz w:val="45"/>
                            <w:szCs w:val="45"/>
                            <w:highlight w:val="yellow"/>
                          </w:rPr>
                          <w:t xml:space="preserve"> in</w:t>
                        </w:r>
                      </w:p>
                      <w:p w14:paraId="66E64065" w14:textId="77777777" w:rsidR="004C33D5" w:rsidRDefault="004C33D5">
                        <w:pPr>
                          <w:spacing w:line="315" w:lineRule="atLeast"/>
                          <w:rPr>
                            <w:rFonts w:ascii="Helvetica" w:hAnsi="Helvetica" w:cs="Helvetica"/>
                            <w:color w:val="4B4B4B"/>
                            <w:sz w:val="21"/>
                            <w:szCs w:val="21"/>
                          </w:rPr>
                        </w:pPr>
                        <w:r>
                          <w:rPr>
                            <w:rStyle w:val="Zwaar"/>
                            <w:rFonts w:ascii="Helvetica" w:hAnsi="Helvetica" w:cs="Helvetica"/>
                            <w:color w:val="4B4B4B"/>
                            <w:sz w:val="21"/>
                            <w:szCs w:val="21"/>
                          </w:rPr>
                          <w:t>Het Leger des Heils is op zoek naar collectanten in</w:t>
                        </w:r>
                        <w:r w:rsidRPr="004C33D5">
                          <w:rPr>
                            <w:rStyle w:val="Zwaar"/>
                            <w:rFonts w:ascii="Helvetica" w:hAnsi="Helvetica" w:cs="Helvetica"/>
                            <w:color w:val="4B4B4B"/>
                            <w:sz w:val="21"/>
                            <w:szCs w:val="21"/>
                          </w:rPr>
                          <w:t xml:space="preserve"> </w:t>
                        </w:r>
                        <w:r w:rsidRPr="00276CC0">
                          <w:rPr>
                            <w:rStyle w:val="Zwaar"/>
                            <w:rFonts w:ascii="Helvetica" w:hAnsi="Helvetica" w:cs="Helvetica"/>
                            <w:color w:val="4B4B4B"/>
                            <w:sz w:val="21"/>
                            <w:szCs w:val="21"/>
                            <w:highlight w:val="yellow"/>
                          </w:rPr>
                          <w:t>Gemeente</w:t>
                        </w:r>
                        <w:r>
                          <w:rPr>
                            <w:rStyle w:val="Zwaar"/>
                            <w:rFonts w:ascii="Helvetica" w:hAnsi="Helvetica" w:cs="Helvetica"/>
                            <w:color w:val="4B4B4B"/>
                            <w:sz w:val="21"/>
                            <w:szCs w:val="21"/>
                          </w:rPr>
                          <w:t xml:space="preserve"> voor de jaarlijkse collecteweek van 28 november t/m 4 december. Alleen met de hulp van vrijwilligers is het voor de organisatie mogelijk op buurtniveau activiteiten te blijven organiseren om sociale uitsluiting en eenzaamheid te bestrijden.</w:t>
                        </w:r>
                      </w:p>
                      <w:p w14:paraId="2A415436" w14:textId="77777777" w:rsidR="004C33D5" w:rsidRDefault="004C33D5">
                        <w:pPr>
                          <w:spacing w:line="315" w:lineRule="atLeast"/>
                          <w:rPr>
                            <w:rFonts w:ascii="Helvetica" w:hAnsi="Helvetica" w:cs="Helvetica"/>
                            <w:color w:val="4B4B4B"/>
                            <w:sz w:val="21"/>
                            <w:szCs w:val="21"/>
                          </w:rPr>
                        </w:pPr>
                      </w:p>
                      <w:p w14:paraId="27485637" w14:textId="77777777" w:rsidR="004C33D5" w:rsidRDefault="004C33D5">
                        <w:pPr>
                          <w:spacing w:line="315" w:lineRule="atLeast"/>
                          <w:rPr>
                            <w:rFonts w:ascii="Helvetica" w:hAnsi="Helvetica" w:cs="Helvetica"/>
                            <w:color w:val="4B4B4B"/>
                            <w:sz w:val="21"/>
                            <w:szCs w:val="21"/>
                          </w:rPr>
                        </w:pPr>
                        <w:r>
                          <w:rPr>
                            <w:rFonts w:ascii="Helvetica" w:hAnsi="Helvetica" w:cs="Helvetica"/>
                            <w:color w:val="4B4B4B"/>
                            <w:sz w:val="21"/>
                            <w:szCs w:val="21"/>
                          </w:rPr>
                          <w:t>In deze complexe tijden is hulp voor veel mensen harder nodig dan ooit. Steeds meer mensen zijn op zichzelf teruggeworpen en niet iedereen redt het alleen. Het Leger des Heils zet alles op alles om zorg en ondersteuning te kunnen blijven bieden, want de behoefte aan contact en directe hulp blijft enorm.</w:t>
                        </w:r>
                      </w:p>
                      <w:p w14:paraId="1D20311B" w14:textId="77777777" w:rsidR="004C33D5" w:rsidRDefault="004C33D5">
                        <w:pPr>
                          <w:spacing w:line="315" w:lineRule="atLeast"/>
                          <w:rPr>
                            <w:rFonts w:ascii="Helvetica" w:hAnsi="Helvetica" w:cs="Helvetica"/>
                            <w:color w:val="4B4B4B"/>
                            <w:sz w:val="21"/>
                            <w:szCs w:val="21"/>
                          </w:rPr>
                        </w:pPr>
                      </w:p>
                      <w:p w14:paraId="7708AA54" w14:textId="77777777" w:rsidR="004C33D5" w:rsidRDefault="004C33D5">
                        <w:pPr>
                          <w:spacing w:line="315" w:lineRule="atLeast"/>
                          <w:rPr>
                            <w:rFonts w:ascii="Helvetica" w:hAnsi="Helvetica" w:cs="Helvetica"/>
                            <w:color w:val="4B4B4B"/>
                            <w:sz w:val="21"/>
                            <w:szCs w:val="21"/>
                          </w:rPr>
                        </w:pPr>
                        <w:r>
                          <w:rPr>
                            <w:rFonts w:ascii="Helvetica" w:hAnsi="Helvetica" w:cs="Helvetica"/>
                            <w:color w:val="4B4B4B"/>
                            <w:sz w:val="21"/>
                            <w:szCs w:val="21"/>
                          </w:rPr>
                          <w:t>Het Leger des Heils heeft door heel Nederland zo’n honderd buurthuiskamers; bedoeld voor de directe omgeving en toegankelijk voor iedereen. Mensen kunnen er terecht voor een kopje koffie, een spelletje, een maaltijd, een (pastoraal) gesprek, zingevingsvragen of bijvoorbeeld tweedehands kleding. Op steeds meer locaties wordt ook schuldhulp en huiswerkbegeleiding geboden, aangevuld met lokale activiteiten.</w:t>
                        </w:r>
                      </w:p>
                      <w:p w14:paraId="227B4A55" w14:textId="77777777" w:rsidR="004C33D5" w:rsidRDefault="004C33D5">
                        <w:pPr>
                          <w:spacing w:line="315" w:lineRule="atLeast"/>
                          <w:rPr>
                            <w:rFonts w:ascii="Helvetica" w:hAnsi="Helvetica" w:cs="Helvetica"/>
                            <w:color w:val="4B4B4B"/>
                            <w:sz w:val="21"/>
                            <w:szCs w:val="21"/>
                          </w:rPr>
                        </w:pPr>
                      </w:p>
                      <w:p w14:paraId="6EDF756B" w14:textId="77777777" w:rsidR="004C33D5" w:rsidRDefault="004C33D5">
                        <w:pPr>
                          <w:spacing w:line="315" w:lineRule="atLeast"/>
                          <w:rPr>
                            <w:rFonts w:ascii="Helvetica" w:hAnsi="Helvetica" w:cs="Helvetica"/>
                            <w:color w:val="4B4B4B"/>
                            <w:sz w:val="21"/>
                            <w:szCs w:val="21"/>
                          </w:rPr>
                        </w:pPr>
                        <w:r>
                          <w:rPr>
                            <w:rFonts w:ascii="Helvetica" w:hAnsi="Helvetica" w:cs="Helvetica"/>
                            <w:color w:val="4B4B4B"/>
                            <w:sz w:val="21"/>
                            <w:szCs w:val="21"/>
                          </w:rPr>
                          <w:t>Doel is om mensen uit een sociaal isolement te halen of dit isolement te voorkomen. Zeker voor mensen met minder bestedingsruimte is zo'n locatie vaak echt een vangnet. In deze buurthuiskamers kunnen buurtbewoners elkaar leren kennen, waardoor gewerkt wordt aan hun sociale netwerk en bovendien de buurt wordt versterkt.</w:t>
                        </w:r>
                      </w:p>
                      <w:p w14:paraId="0DA88236" w14:textId="77777777" w:rsidR="004C33D5" w:rsidRDefault="004C33D5">
                        <w:pPr>
                          <w:spacing w:line="315" w:lineRule="atLeast"/>
                          <w:rPr>
                            <w:rFonts w:ascii="Helvetica" w:hAnsi="Helvetica" w:cs="Helvetica"/>
                            <w:color w:val="4B4B4B"/>
                            <w:sz w:val="21"/>
                            <w:szCs w:val="21"/>
                          </w:rPr>
                        </w:pPr>
                      </w:p>
                      <w:p w14:paraId="1497FA4E" w14:textId="77777777" w:rsidR="004C33D5" w:rsidRDefault="004C33D5">
                        <w:pPr>
                          <w:spacing w:line="315" w:lineRule="atLeast"/>
                          <w:rPr>
                            <w:rFonts w:ascii="Helvetica" w:hAnsi="Helvetica" w:cs="Helvetica"/>
                            <w:color w:val="4B4B4B"/>
                            <w:sz w:val="21"/>
                            <w:szCs w:val="21"/>
                          </w:rPr>
                        </w:pPr>
                        <w:r>
                          <w:rPr>
                            <w:rFonts w:ascii="Helvetica" w:hAnsi="Helvetica" w:cs="Helvetica"/>
                            <w:color w:val="4B4B4B"/>
                            <w:sz w:val="21"/>
                            <w:szCs w:val="21"/>
                          </w:rPr>
                          <w:t xml:space="preserve">Het overgrote deel van deze buurthuiskamers is niet gesubsidieerd, waardoor het bestaan volledig afhankelijk is van giften en donaties. Het Leger des Heils organiseert daarom een landelijke collecteweek, dit jaar van 28 november t/m 4 december. De hulp van vrijwilligers is daarbij keihard nodig. Aanmelden kan via: </w:t>
                        </w:r>
                        <w:hyperlink r:id="rId5" w:tgtFrame="_blank" w:history="1">
                          <w:r>
                            <w:rPr>
                              <w:rStyle w:val="Hyperlink"/>
                              <w:rFonts w:ascii="Helvetica" w:hAnsi="Helvetica" w:cs="Helvetica"/>
                              <w:sz w:val="21"/>
                              <w:szCs w:val="21"/>
                            </w:rPr>
                            <w:t>https://www.legerdesheils.nl/word-collectevrijwilliger</w:t>
                          </w:r>
                        </w:hyperlink>
                      </w:p>
                      <w:p w14:paraId="256A4E04" w14:textId="77777777" w:rsidR="004C33D5" w:rsidRDefault="004C33D5">
                        <w:pPr>
                          <w:spacing w:line="315" w:lineRule="atLeast"/>
                          <w:rPr>
                            <w:rFonts w:ascii="Helvetica" w:hAnsi="Helvetica" w:cs="Helvetica"/>
                            <w:color w:val="4B4B4B"/>
                            <w:sz w:val="21"/>
                            <w:szCs w:val="21"/>
                          </w:rPr>
                        </w:pPr>
                      </w:p>
                      <w:tbl>
                        <w:tblPr>
                          <w:tblW w:w="5000" w:type="pct"/>
                          <w:tblCellSpacing w:w="0" w:type="dxa"/>
                          <w:tblCellMar>
                            <w:left w:w="0" w:type="dxa"/>
                            <w:right w:w="0" w:type="dxa"/>
                          </w:tblCellMar>
                          <w:tblLook w:val="04A0" w:firstRow="1" w:lastRow="0" w:firstColumn="1" w:lastColumn="0" w:noHBand="0" w:noVBand="1"/>
                        </w:tblPr>
                        <w:tblGrid>
                          <w:gridCol w:w="8010"/>
                        </w:tblGrid>
                        <w:tr w:rsidR="004C33D5" w14:paraId="66A0A9C5"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010"/>
                              </w:tblGrid>
                              <w:tr w:rsidR="004C33D5" w14:paraId="78FAF7DE" w14:textId="77777777">
                                <w:trPr>
                                  <w:tblCellSpacing w:w="0" w:type="dxa"/>
                                </w:trPr>
                                <w:tc>
                                  <w:tcPr>
                                    <w:tcW w:w="0" w:type="auto"/>
                                    <w:vAlign w:val="center"/>
                                    <w:hideMark/>
                                  </w:tcPr>
                                  <w:p w14:paraId="7A3FB475" w14:textId="77777777" w:rsidR="004C33D5" w:rsidRDefault="004C33D5">
                                    <w:r>
                                      <w:rPr>
                                        <w:noProof/>
                                      </w:rPr>
                                      <w:lastRenderedPageBreak/>
                                      <w:drawing>
                                        <wp:inline distT="0" distB="0" distL="0" distR="0" wp14:anchorId="74CF53D4" wp14:editId="50CFDB35">
                                          <wp:extent cx="5082540" cy="3390900"/>
                                          <wp:effectExtent l="0" t="0" r="3810" b="0"/>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2540" cy="3390900"/>
                                                  </a:xfrm>
                                                  <a:prstGeom prst="rect">
                                                    <a:avLst/>
                                                  </a:prstGeom>
                                                  <a:noFill/>
                                                  <a:ln>
                                                    <a:noFill/>
                                                  </a:ln>
                                                </pic:spPr>
                                              </pic:pic>
                                            </a:graphicData>
                                          </a:graphic>
                                        </wp:inline>
                                      </w:drawing>
                                    </w:r>
                                  </w:p>
                                </w:tc>
                              </w:tr>
                            </w:tbl>
                            <w:p w14:paraId="4F03FA28" w14:textId="77777777" w:rsidR="004C33D5" w:rsidRDefault="004C33D5">
                              <w:pPr>
                                <w:rPr>
                                  <w:rFonts w:ascii="Times New Roman" w:eastAsia="Times New Roman" w:hAnsi="Times New Roman" w:cs="Times New Roman"/>
                                  <w:sz w:val="20"/>
                                  <w:szCs w:val="20"/>
                                </w:rPr>
                              </w:pPr>
                            </w:p>
                          </w:tc>
                        </w:tr>
                      </w:tbl>
                      <w:p w14:paraId="3C9DD138" w14:textId="77777777" w:rsidR="004C33D5" w:rsidRDefault="004C33D5">
                        <w:pPr>
                          <w:spacing w:line="315" w:lineRule="atLeast"/>
                          <w:rPr>
                            <w:rFonts w:ascii="Helvetica" w:hAnsi="Helvetica" w:cs="Helvetica"/>
                            <w:color w:val="4B4B4B"/>
                            <w:sz w:val="21"/>
                            <w:szCs w:val="21"/>
                          </w:rPr>
                        </w:pPr>
                        <w:r>
                          <w:rPr>
                            <w:rFonts w:ascii="Helvetica" w:hAnsi="Helvetica" w:cs="Helvetica"/>
                            <w:color w:val="4B4B4B"/>
                            <w:sz w:val="21"/>
                            <w:szCs w:val="21"/>
                          </w:rPr>
                          <w:t> </w:t>
                        </w:r>
                      </w:p>
                    </w:tc>
                    <w:tc>
                      <w:tcPr>
                        <w:tcW w:w="525" w:type="dxa"/>
                        <w:vAlign w:val="center"/>
                        <w:hideMark/>
                      </w:tcPr>
                      <w:p w14:paraId="0D702557" w14:textId="77777777" w:rsidR="004C33D5" w:rsidRDefault="004C33D5">
                        <w:r>
                          <w:lastRenderedPageBreak/>
                          <w:t> </w:t>
                        </w:r>
                      </w:p>
                    </w:tc>
                    <w:tc>
                      <w:tcPr>
                        <w:tcW w:w="15" w:type="dxa"/>
                        <w:shd w:val="clear" w:color="auto" w:fill="C3C3C3"/>
                        <w:vAlign w:val="center"/>
                        <w:hideMark/>
                      </w:tcPr>
                      <w:p w14:paraId="225545D6" w14:textId="77777777" w:rsidR="004C33D5" w:rsidRDefault="004C33D5"/>
                    </w:tc>
                  </w:tr>
                </w:tbl>
                <w:p w14:paraId="05975BB5" w14:textId="77777777" w:rsidR="004C33D5" w:rsidRDefault="004C33D5">
                  <w:pPr>
                    <w:rPr>
                      <w:rFonts w:ascii="Times New Roman" w:eastAsia="Times New Roman" w:hAnsi="Times New Roman" w:cs="Times New Roman"/>
                      <w:sz w:val="20"/>
                      <w:szCs w:val="20"/>
                    </w:rPr>
                  </w:pPr>
                </w:p>
              </w:tc>
            </w:tr>
          </w:tbl>
          <w:p w14:paraId="67B410D0" w14:textId="77777777" w:rsidR="004C33D5" w:rsidRDefault="004C33D5">
            <w:pPr>
              <w:rPr>
                <w:rFonts w:ascii="Times New Roman" w:eastAsia="Times New Roman" w:hAnsi="Times New Roman" w:cs="Times New Roman"/>
                <w:sz w:val="20"/>
                <w:szCs w:val="20"/>
              </w:rPr>
            </w:pPr>
          </w:p>
        </w:tc>
        <w:tc>
          <w:tcPr>
            <w:tcW w:w="0" w:type="auto"/>
            <w:vAlign w:val="center"/>
            <w:hideMark/>
          </w:tcPr>
          <w:p w14:paraId="01F5E3CB" w14:textId="77777777" w:rsidR="004C33D5" w:rsidRDefault="004C33D5">
            <w:pPr>
              <w:rPr>
                <w:rFonts w:ascii="Times New Roman" w:eastAsia="Times New Roman" w:hAnsi="Times New Roman" w:cs="Times New Roman"/>
                <w:sz w:val="20"/>
                <w:szCs w:val="20"/>
              </w:rPr>
            </w:pPr>
          </w:p>
        </w:tc>
      </w:tr>
    </w:tbl>
    <w:p w14:paraId="4E0E90C1" w14:textId="77777777" w:rsidR="00305D24" w:rsidRDefault="00276CC0"/>
    <w:sectPr w:rsidR="00305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D5"/>
    <w:rsid w:val="00276CC0"/>
    <w:rsid w:val="004C33D5"/>
    <w:rsid w:val="006E0809"/>
    <w:rsid w:val="00C04D4C"/>
    <w:rsid w:val="00FA0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77A9"/>
  <w15:chartTrackingRefBased/>
  <w15:docId w15:val="{6EB2EEC7-391F-405A-A985-D1C948CD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33D5"/>
    <w:pPr>
      <w:spacing w:after="0" w:line="240" w:lineRule="auto"/>
    </w:pPr>
    <w:rPr>
      <w:rFonts w:ascii="Calibri" w:hAnsi="Calibri" w:cs="Calibri"/>
      <w:lang w:eastAsia="nl-NL"/>
    </w:rPr>
  </w:style>
  <w:style w:type="paragraph" w:styleId="Kop1">
    <w:name w:val="heading 1"/>
    <w:basedOn w:val="Standaard"/>
    <w:link w:val="Kop1Char"/>
    <w:uiPriority w:val="9"/>
    <w:qFormat/>
    <w:rsid w:val="004C33D5"/>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33D5"/>
    <w:rPr>
      <w:rFonts w:ascii="Calibri" w:hAnsi="Calibri" w:cs="Calibri"/>
      <w:b/>
      <w:bCs/>
      <w:kern w:val="36"/>
      <w:sz w:val="48"/>
      <w:szCs w:val="48"/>
      <w:lang w:eastAsia="nl-NL"/>
    </w:rPr>
  </w:style>
  <w:style w:type="character" w:styleId="Hyperlink">
    <w:name w:val="Hyperlink"/>
    <w:basedOn w:val="Standaardalinea-lettertype"/>
    <w:uiPriority w:val="99"/>
    <w:semiHidden/>
    <w:unhideWhenUsed/>
    <w:rsid w:val="004C33D5"/>
    <w:rPr>
      <w:color w:val="0000FF"/>
      <w:u w:val="single"/>
    </w:rPr>
  </w:style>
  <w:style w:type="character" w:styleId="Zwaar">
    <w:name w:val="Strong"/>
    <w:basedOn w:val="Standaardalinea-lettertype"/>
    <w:uiPriority w:val="22"/>
    <w:qFormat/>
    <w:rsid w:val="004C3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legerdesheils.nl/word-collectevrijwilliger"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1628</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 Van der Ham - Potkamp</dc:creator>
  <cp:keywords/>
  <dc:description/>
  <cp:lastModifiedBy>Geke van Wijnen</cp:lastModifiedBy>
  <cp:revision>3</cp:revision>
  <dcterms:created xsi:type="dcterms:W3CDTF">2021-09-23T09:00:00Z</dcterms:created>
  <dcterms:modified xsi:type="dcterms:W3CDTF">2021-09-28T09:36:00Z</dcterms:modified>
</cp:coreProperties>
</file>